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35" w:rsidRDefault="00E57535" w:rsidP="00A747CE">
      <w:pPr>
        <w:rPr>
          <w:rFonts w:asciiTheme="majorHAnsi" w:hAnsiTheme="majorHAnsi"/>
          <w:sz w:val="22"/>
          <w:szCs w:val="22"/>
        </w:rPr>
      </w:pPr>
    </w:p>
    <w:p w:rsidR="00E57535" w:rsidRDefault="00E57535" w:rsidP="00A747CE">
      <w:pPr>
        <w:rPr>
          <w:rFonts w:asciiTheme="majorHAnsi" w:hAnsiTheme="majorHAnsi"/>
          <w:sz w:val="22"/>
          <w:szCs w:val="22"/>
        </w:rPr>
      </w:pPr>
    </w:p>
    <w:p w:rsidR="00E57535" w:rsidRPr="008645EF" w:rsidRDefault="00E57535" w:rsidP="00A747CE"/>
    <w:p w:rsidR="0021182F" w:rsidRDefault="0021182F" w:rsidP="00A747CE">
      <w:pPr>
        <w:rPr>
          <w:sz w:val="22"/>
          <w:szCs w:val="22"/>
        </w:rPr>
      </w:pPr>
    </w:p>
    <w:p w:rsidR="00512597" w:rsidRPr="00D660A6" w:rsidRDefault="0083650E" w:rsidP="00A747CE">
      <w:pPr>
        <w:rPr>
          <w:sz w:val="22"/>
          <w:szCs w:val="22"/>
        </w:rPr>
      </w:pPr>
      <w:r>
        <w:rPr>
          <w:sz w:val="22"/>
          <w:szCs w:val="22"/>
        </w:rPr>
        <w:t>August 3</w:t>
      </w:r>
      <w:r w:rsidR="000A25A3">
        <w:rPr>
          <w:sz w:val="22"/>
          <w:szCs w:val="22"/>
        </w:rPr>
        <w:t>, 2021</w:t>
      </w:r>
    </w:p>
    <w:p w:rsidR="00A747CE" w:rsidRPr="00274C46" w:rsidRDefault="00A747CE" w:rsidP="00A747CE">
      <w:pPr>
        <w:rPr>
          <w:b/>
          <w:sz w:val="22"/>
          <w:szCs w:val="22"/>
        </w:rPr>
      </w:pPr>
    </w:p>
    <w:p w:rsidR="00DE4D92" w:rsidRPr="00274C46" w:rsidRDefault="00B4401B" w:rsidP="00DE4D92">
      <w:pPr>
        <w:rPr>
          <w:b/>
          <w:sz w:val="22"/>
          <w:szCs w:val="22"/>
        </w:rPr>
      </w:pPr>
      <w:r w:rsidRPr="00274C46">
        <w:rPr>
          <w:b/>
          <w:sz w:val="22"/>
          <w:szCs w:val="22"/>
        </w:rPr>
        <w:t>ANNUAL MANDATORY LEARNING</w:t>
      </w:r>
    </w:p>
    <w:p w:rsidR="00DE4D92" w:rsidRPr="00274C46" w:rsidRDefault="00DE4D92" w:rsidP="00DE4D92">
      <w:pPr>
        <w:rPr>
          <w:b/>
          <w:sz w:val="22"/>
          <w:szCs w:val="22"/>
        </w:rPr>
      </w:pPr>
    </w:p>
    <w:p w:rsidR="008645EF" w:rsidRPr="00274C46" w:rsidRDefault="00B4401B" w:rsidP="00B4401B">
      <w:pPr>
        <w:rPr>
          <w:sz w:val="22"/>
          <w:szCs w:val="22"/>
        </w:rPr>
      </w:pPr>
      <w:r w:rsidRPr="00274C46">
        <w:rPr>
          <w:sz w:val="22"/>
          <w:szCs w:val="22"/>
        </w:rPr>
        <w:t>Annual mandatory courses</w:t>
      </w:r>
      <w:r w:rsidR="003E1DA9">
        <w:rPr>
          <w:sz w:val="22"/>
          <w:szCs w:val="22"/>
        </w:rPr>
        <w:t xml:space="preserve"> and declaration</w:t>
      </w:r>
      <w:r w:rsidR="000A25A3">
        <w:rPr>
          <w:sz w:val="22"/>
          <w:szCs w:val="22"/>
        </w:rPr>
        <w:t>s</w:t>
      </w:r>
      <w:r w:rsidRPr="00274C46">
        <w:rPr>
          <w:sz w:val="22"/>
          <w:szCs w:val="22"/>
        </w:rPr>
        <w:t xml:space="preserve"> are now available for completion in </w:t>
      </w:r>
      <w:r w:rsidR="008645EF" w:rsidRPr="00274C46">
        <w:rPr>
          <w:sz w:val="22"/>
          <w:szCs w:val="22"/>
        </w:rPr>
        <w:t xml:space="preserve">the </w:t>
      </w:r>
      <w:proofErr w:type="spellStart"/>
      <w:r w:rsidRPr="00274C46">
        <w:rPr>
          <w:sz w:val="22"/>
          <w:szCs w:val="22"/>
        </w:rPr>
        <w:t>DualCode</w:t>
      </w:r>
      <w:proofErr w:type="spellEnd"/>
      <w:r w:rsidRPr="00274C46">
        <w:rPr>
          <w:sz w:val="22"/>
          <w:szCs w:val="22"/>
        </w:rPr>
        <w:t xml:space="preserve"> Learning Management System (LMS). </w:t>
      </w:r>
    </w:p>
    <w:p w:rsidR="008645EF" w:rsidRPr="00274C46" w:rsidRDefault="008645EF" w:rsidP="00B4401B">
      <w:pPr>
        <w:rPr>
          <w:sz w:val="22"/>
          <w:szCs w:val="22"/>
        </w:rPr>
      </w:pPr>
    </w:p>
    <w:p w:rsidR="008645EF" w:rsidRPr="00274C46" w:rsidRDefault="00274C46" w:rsidP="008645EF">
      <w:pPr>
        <w:rPr>
          <w:sz w:val="22"/>
          <w:szCs w:val="22"/>
        </w:rPr>
      </w:pPr>
      <w:r>
        <w:rPr>
          <w:rFonts w:cs="Segoe UI"/>
          <w:sz w:val="22"/>
          <w:szCs w:val="22"/>
        </w:rPr>
        <w:t>How to</w:t>
      </w:r>
      <w:r w:rsidR="008645EF" w:rsidRPr="00274C46">
        <w:rPr>
          <w:rFonts w:cs="Segoe UI"/>
          <w:sz w:val="22"/>
          <w:szCs w:val="22"/>
        </w:rPr>
        <w:t xml:space="preserve"> log in?</w:t>
      </w:r>
      <w:r w:rsidR="008645EF" w:rsidRPr="00274C46">
        <w:rPr>
          <w:rFonts w:cs="Segoe UI"/>
          <w:b/>
          <w:sz w:val="22"/>
          <w:szCs w:val="22"/>
        </w:rPr>
        <w:t xml:space="preserve"> </w:t>
      </w:r>
      <w:r w:rsidRPr="00274C46">
        <w:rPr>
          <w:sz w:val="22"/>
          <w:szCs w:val="22"/>
        </w:rPr>
        <w:t>Username and password are the same as your Novell</w:t>
      </w:r>
      <w:r>
        <w:rPr>
          <w:sz w:val="22"/>
          <w:szCs w:val="22"/>
        </w:rPr>
        <w:t xml:space="preserve">. </w:t>
      </w:r>
      <w:r w:rsidR="008645EF" w:rsidRPr="00274C46">
        <w:rPr>
          <w:sz w:val="22"/>
          <w:szCs w:val="22"/>
        </w:rPr>
        <w:t>As always, these courses are accessible for completion from work or offsite</w:t>
      </w:r>
      <w:r w:rsidR="00356CB0">
        <w:rPr>
          <w:sz w:val="22"/>
          <w:szCs w:val="22"/>
        </w:rPr>
        <w:t xml:space="preserve"> using any smart device</w:t>
      </w:r>
      <w:proofErr w:type="gramStart"/>
      <w:r w:rsidR="008645EF" w:rsidRPr="00274C46">
        <w:rPr>
          <w:sz w:val="22"/>
          <w:szCs w:val="22"/>
        </w:rPr>
        <w:t>;</w:t>
      </w:r>
      <w:proofErr w:type="gramEnd"/>
    </w:p>
    <w:p w:rsidR="008645EF" w:rsidRPr="00274C46" w:rsidRDefault="008645EF" w:rsidP="008645EF">
      <w:pPr>
        <w:pStyle w:val="ListParagraph"/>
        <w:numPr>
          <w:ilvl w:val="0"/>
          <w:numId w:val="3"/>
        </w:numPr>
        <w:rPr>
          <w:rFonts w:cs="Segoe UI"/>
          <w:sz w:val="22"/>
          <w:szCs w:val="22"/>
        </w:rPr>
      </w:pPr>
      <w:r w:rsidRPr="00274C46">
        <w:rPr>
          <w:rFonts w:cs="Segoe UI"/>
          <w:sz w:val="22"/>
          <w:szCs w:val="22"/>
        </w:rPr>
        <w:t>From work:</w:t>
      </w:r>
    </w:p>
    <w:p w:rsidR="008645EF" w:rsidRPr="00274C46" w:rsidRDefault="008645EF" w:rsidP="008645EF">
      <w:pPr>
        <w:pStyle w:val="ListParagraph"/>
        <w:numPr>
          <w:ilvl w:val="0"/>
          <w:numId w:val="4"/>
        </w:numPr>
        <w:rPr>
          <w:rFonts w:cs="Segoe UI"/>
          <w:sz w:val="22"/>
          <w:szCs w:val="22"/>
        </w:rPr>
      </w:pPr>
      <w:r w:rsidRPr="00274C46">
        <w:rPr>
          <w:rFonts w:cs="Segoe UI"/>
          <w:sz w:val="22"/>
          <w:szCs w:val="22"/>
        </w:rPr>
        <w:t xml:space="preserve">LMS Icon located on your Novell dashboard </w:t>
      </w:r>
      <w:r w:rsidRPr="00274C46">
        <w:rPr>
          <w:rFonts w:cs="Segoe UI"/>
          <w:noProof/>
          <w:sz w:val="22"/>
          <w:szCs w:val="22"/>
        </w:rPr>
        <w:drawing>
          <wp:inline distT="0" distB="0" distL="0" distR="0">
            <wp:extent cx="606056" cy="404037"/>
            <wp:effectExtent l="19050" t="0" r="3544" b="0"/>
            <wp:docPr id="1" name="Picture 2" descr="Novell Icon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ll Icon.ic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5EF" w:rsidRPr="00274C46" w:rsidRDefault="008645EF" w:rsidP="008645EF">
      <w:pPr>
        <w:pStyle w:val="ListParagraph"/>
        <w:numPr>
          <w:ilvl w:val="0"/>
          <w:numId w:val="4"/>
        </w:numPr>
        <w:rPr>
          <w:rFonts w:cs="Segoe UI"/>
          <w:sz w:val="22"/>
          <w:szCs w:val="22"/>
        </w:rPr>
      </w:pPr>
      <w:r w:rsidRPr="00274C46">
        <w:rPr>
          <w:rFonts w:cs="Segoe UI"/>
          <w:sz w:val="22"/>
          <w:szCs w:val="22"/>
        </w:rPr>
        <w:t>Intranet homepage under Tools and Training</w:t>
      </w:r>
    </w:p>
    <w:p w:rsidR="008645EF" w:rsidRPr="00274C46" w:rsidRDefault="008645EF" w:rsidP="008645EF">
      <w:pPr>
        <w:pStyle w:val="ListParagraph"/>
        <w:rPr>
          <w:rFonts w:cs="Segoe UI"/>
          <w:sz w:val="22"/>
          <w:szCs w:val="22"/>
        </w:rPr>
      </w:pPr>
    </w:p>
    <w:p w:rsidR="008645EF" w:rsidRPr="00274C46" w:rsidRDefault="008645EF" w:rsidP="008645EF">
      <w:pPr>
        <w:pStyle w:val="ListParagraph"/>
        <w:numPr>
          <w:ilvl w:val="0"/>
          <w:numId w:val="3"/>
        </w:numPr>
        <w:rPr>
          <w:rFonts w:cs="Segoe UI"/>
          <w:sz w:val="22"/>
          <w:szCs w:val="22"/>
        </w:rPr>
      </w:pPr>
      <w:r w:rsidRPr="00274C46">
        <w:rPr>
          <w:rFonts w:cs="Segoe UI"/>
          <w:sz w:val="22"/>
          <w:szCs w:val="22"/>
        </w:rPr>
        <w:t>From home:</w:t>
      </w:r>
    </w:p>
    <w:p w:rsidR="008645EF" w:rsidRPr="00274C46" w:rsidRDefault="008645EF" w:rsidP="008645EF">
      <w:pPr>
        <w:pStyle w:val="ListParagraph"/>
        <w:numPr>
          <w:ilvl w:val="0"/>
          <w:numId w:val="4"/>
        </w:numPr>
        <w:rPr>
          <w:rFonts w:cs="Segoe UI"/>
          <w:sz w:val="22"/>
          <w:szCs w:val="22"/>
        </w:rPr>
      </w:pPr>
      <w:r w:rsidRPr="00274C46">
        <w:rPr>
          <w:rFonts w:cs="Segoe UI"/>
          <w:sz w:val="22"/>
          <w:szCs w:val="22"/>
        </w:rPr>
        <w:t>LMS Icon by visiting Staff Logins from the main external Hospital page:</w:t>
      </w:r>
      <w:r w:rsidR="00274C46">
        <w:rPr>
          <w:rFonts w:cs="Segoe UI"/>
          <w:sz w:val="22"/>
          <w:szCs w:val="22"/>
        </w:rPr>
        <w:t xml:space="preserve"> </w:t>
      </w:r>
      <w:hyperlink r:id="rId9" w:history="1">
        <w:r w:rsidRPr="00274C46">
          <w:rPr>
            <w:rStyle w:val="Hyperlink"/>
            <w:sz w:val="22"/>
            <w:szCs w:val="22"/>
          </w:rPr>
          <w:t>http://tbrhsc.net/tbrhsc/staff-logins/</w:t>
        </w:r>
      </w:hyperlink>
    </w:p>
    <w:p w:rsidR="00B4401B" w:rsidRPr="00274C46" w:rsidRDefault="008645EF" w:rsidP="00B4401B">
      <w:pPr>
        <w:pStyle w:val="ListParagraph"/>
        <w:numPr>
          <w:ilvl w:val="0"/>
          <w:numId w:val="4"/>
        </w:numPr>
        <w:rPr>
          <w:rFonts w:cs="Segoe UI"/>
          <w:sz w:val="22"/>
          <w:szCs w:val="22"/>
        </w:rPr>
      </w:pPr>
      <w:r w:rsidRPr="00274C46">
        <w:rPr>
          <w:rFonts w:cs="Segoe UI"/>
          <w:sz w:val="22"/>
          <w:szCs w:val="22"/>
        </w:rPr>
        <w:t xml:space="preserve">Visiting </w:t>
      </w:r>
      <w:hyperlink r:id="rId10" w:history="1">
        <w:r w:rsidRPr="00274C46">
          <w:rPr>
            <w:rStyle w:val="Hyperlink"/>
            <w:rFonts w:cs="Segoe UI"/>
            <w:sz w:val="22"/>
            <w:szCs w:val="22"/>
          </w:rPr>
          <w:t>https://tbrhsc.dualcode.com/</w:t>
        </w:r>
      </w:hyperlink>
      <w:r w:rsidRPr="00274C46">
        <w:rPr>
          <w:rFonts w:cs="Segoe UI"/>
          <w:sz w:val="22"/>
          <w:szCs w:val="22"/>
        </w:rPr>
        <w:t xml:space="preserve"> directly</w:t>
      </w:r>
      <w:bookmarkStart w:id="0" w:name="_GoBack"/>
      <w:bookmarkEnd w:id="0"/>
    </w:p>
    <w:p w:rsidR="008645EF" w:rsidRPr="00274C46" w:rsidRDefault="008645EF" w:rsidP="008645EF">
      <w:pPr>
        <w:pStyle w:val="ListParagraph"/>
        <w:ind w:left="1080"/>
        <w:rPr>
          <w:rFonts w:cs="Segoe UI"/>
          <w:sz w:val="22"/>
          <w:szCs w:val="22"/>
        </w:rPr>
      </w:pPr>
    </w:p>
    <w:p w:rsidR="00B4401B" w:rsidRPr="00274C46" w:rsidRDefault="00B4401B" w:rsidP="00B4401B">
      <w:pPr>
        <w:rPr>
          <w:sz w:val="22"/>
          <w:szCs w:val="22"/>
        </w:rPr>
      </w:pPr>
      <w:r w:rsidRPr="00274C46">
        <w:rPr>
          <w:sz w:val="22"/>
          <w:szCs w:val="22"/>
        </w:rPr>
        <w:t>Each staff member has had the applicable courses</w:t>
      </w:r>
      <w:r w:rsidR="008645EF" w:rsidRPr="00274C46">
        <w:rPr>
          <w:sz w:val="22"/>
          <w:szCs w:val="22"/>
        </w:rPr>
        <w:t xml:space="preserve"> </w:t>
      </w:r>
      <w:r w:rsidRPr="00274C46">
        <w:rPr>
          <w:sz w:val="22"/>
          <w:szCs w:val="22"/>
        </w:rPr>
        <w:t>assig</w:t>
      </w:r>
      <w:r w:rsidR="008645EF" w:rsidRPr="00274C46">
        <w:rPr>
          <w:sz w:val="22"/>
          <w:szCs w:val="22"/>
        </w:rPr>
        <w:t>ned to their individual progress dashboard</w:t>
      </w:r>
      <w:r w:rsidRPr="00274C46">
        <w:rPr>
          <w:sz w:val="22"/>
          <w:szCs w:val="22"/>
        </w:rPr>
        <w:t>.</w:t>
      </w:r>
      <w:r w:rsidR="00274C46">
        <w:rPr>
          <w:sz w:val="22"/>
          <w:szCs w:val="22"/>
        </w:rPr>
        <w:t xml:space="preserve"> </w:t>
      </w:r>
      <w:r w:rsidR="00274C46" w:rsidRPr="00274C46">
        <w:rPr>
          <w:sz w:val="22"/>
          <w:szCs w:val="22"/>
        </w:rPr>
        <w:t>The below</w:t>
      </w:r>
      <w:r w:rsidRPr="00274C46">
        <w:rPr>
          <w:sz w:val="22"/>
          <w:szCs w:val="22"/>
        </w:rPr>
        <w:t xml:space="preserve"> courses are</w:t>
      </w:r>
      <w:r w:rsidR="00274C46" w:rsidRPr="00274C46">
        <w:rPr>
          <w:sz w:val="22"/>
          <w:szCs w:val="22"/>
        </w:rPr>
        <w:t xml:space="preserve"> corporate </w:t>
      </w:r>
      <w:r w:rsidR="00274C46">
        <w:rPr>
          <w:sz w:val="22"/>
          <w:szCs w:val="22"/>
        </w:rPr>
        <w:t>learning</w:t>
      </w:r>
      <w:r w:rsidRPr="00274C46">
        <w:rPr>
          <w:sz w:val="22"/>
          <w:szCs w:val="22"/>
        </w:rPr>
        <w:t xml:space="preserve"> due for complet</w:t>
      </w:r>
      <w:r w:rsidR="003E1DA9">
        <w:rPr>
          <w:sz w:val="22"/>
          <w:szCs w:val="22"/>
        </w:rPr>
        <w:t>ion no later than March 31, 202</w:t>
      </w:r>
      <w:r w:rsidR="000A25A3">
        <w:rPr>
          <w:sz w:val="22"/>
          <w:szCs w:val="22"/>
        </w:rPr>
        <w:t>2</w:t>
      </w:r>
      <w:r w:rsidRPr="00274C46">
        <w:rPr>
          <w:sz w:val="22"/>
          <w:szCs w:val="22"/>
        </w:rPr>
        <w:t>.</w:t>
      </w:r>
    </w:p>
    <w:p w:rsidR="00BA1B01" w:rsidRPr="00274C46" w:rsidRDefault="00BA1B01" w:rsidP="00B4401B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3708"/>
        <w:gridCol w:w="1672"/>
        <w:gridCol w:w="3944"/>
      </w:tblGrid>
      <w:tr w:rsidR="000A25A3" w:rsidRPr="00274C46" w:rsidTr="00BA382D">
        <w:tc>
          <w:tcPr>
            <w:tcW w:w="3708" w:type="dxa"/>
          </w:tcPr>
          <w:p w:rsidR="000A25A3" w:rsidRPr="00274C46" w:rsidRDefault="000A25A3" w:rsidP="00BA382D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1672" w:type="dxa"/>
          </w:tcPr>
          <w:p w:rsidR="000A25A3" w:rsidRPr="00274C46" w:rsidRDefault="000A25A3" w:rsidP="00BA382D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sz w:val="20"/>
                <w:szCs w:val="20"/>
              </w:rPr>
              <w:t>Mandatory For</w:t>
            </w:r>
          </w:p>
        </w:tc>
        <w:tc>
          <w:tcPr>
            <w:tcW w:w="3944" w:type="dxa"/>
          </w:tcPr>
          <w:p w:rsidR="000A25A3" w:rsidRPr="00274C46" w:rsidRDefault="000A25A3" w:rsidP="00BA382D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sz w:val="20"/>
                <w:szCs w:val="20"/>
              </w:rPr>
              <w:t>Frequency of Review</w:t>
            </w:r>
          </w:p>
        </w:tc>
      </w:tr>
      <w:tr w:rsidR="000A25A3" w:rsidRPr="00274C46" w:rsidTr="00BA382D">
        <w:tc>
          <w:tcPr>
            <w:tcW w:w="3708" w:type="dxa"/>
          </w:tcPr>
          <w:p w:rsidR="000A25A3" w:rsidRPr="00274C46" w:rsidRDefault="000A25A3" w:rsidP="00BA38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Accessibility</w:t>
            </w:r>
          </w:p>
        </w:tc>
        <w:tc>
          <w:tcPr>
            <w:tcW w:w="1672" w:type="dxa"/>
          </w:tcPr>
          <w:p w:rsidR="000A25A3" w:rsidRPr="00274C46" w:rsidRDefault="000A25A3" w:rsidP="00BA382D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0A25A3" w:rsidRPr="00274C46" w:rsidRDefault="000A25A3" w:rsidP="00BA382D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0A25A3" w:rsidRPr="00274C46" w:rsidTr="00BA382D">
        <w:tc>
          <w:tcPr>
            <w:tcW w:w="3708" w:type="dxa"/>
          </w:tcPr>
          <w:p w:rsidR="000A25A3" w:rsidRPr="00274C46" w:rsidRDefault="000A25A3" w:rsidP="00BA38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 xml:space="preserve">Emergency 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Preparedness</w:t>
            </w:r>
          </w:p>
        </w:tc>
        <w:tc>
          <w:tcPr>
            <w:tcW w:w="1672" w:type="dxa"/>
          </w:tcPr>
          <w:p w:rsidR="000A25A3" w:rsidRPr="00274C46" w:rsidRDefault="000A25A3" w:rsidP="00BA382D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0A25A3" w:rsidRPr="00274C46" w:rsidRDefault="000A25A3" w:rsidP="00BA382D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0A25A3" w:rsidRPr="00274C46" w:rsidTr="00BA382D">
        <w:tc>
          <w:tcPr>
            <w:tcW w:w="3708" w:type="dxa"/>
          </w:tcPr>
          <w:p w:rsidR="000A25A3" w:rsidRPr="00274C46" w:rsidRDefault="000A25A3" w:rsidP="00BA38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Healthy Backs</w:t>
            </w:r>
          </w:p>
        </w:tc>
        <w:tc>
          <w:tcPr>
            <w:tcW w:w="1672" w:type="dxa"/>
          </w:tcPr>
          <w:p w:rsidR="000A25A3" w:rsidRPr="00274C46" w:rsidRDefault="000A25A3" w:rsidP="00BA382D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0A25A3" w:rsidRPr="00274C46" w:rsidRDefault="000A25A3" w:rsidP="00BA382D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0A25A3" w:rsidRPr="00274C46" w:rsidTr="00BA382D">
        <w:tc>
          <w:tcPr>
            <w:tcW w:w="3708" w:type="dxa"/>
          </w:tcPr>
          <w:p w:rsidR="000A25A3" w:rsidRPr="00274C46" w:rsidRDefault="000A25A3" w:rsidP="00BA38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Infection Control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0A25A3" w:rsidRPr="00274C46" w:rsidRDefault="000A25A3" w:rsidP="00BA382D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0A25A3" w:rsidRPr="00274C46" w:rsidRDefault="000A25A3" w:rsidP="00BA382D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0A25A3" w:rsidRPr="00274C46" w:rsidTr="00BA382D">
        <w:tc>
          <w:tcPr>
            <w:tcW w:w="3708" w:type="dxa"/>
          </w:tcPr>
          <w:p w:rsidR="000A25A3" w:rsidRPr="00274C46" w:rsidRDefault="000A25A3" w:rsidP="00BA38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Occupational Health and Safety</w:t>
            </w:r>
          </w:p>
        </w:tc>
        <w:tc>
          <w:tcPr>
            <w:tcW w:w="1672" w:type="dxa"/>
          </w:tcPr>
          <w:p w:rsidR="000A25A3" w:rsidRPr="00274C46" w:rsidRDefault="000A25A3" w:rsidP="00BA382D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0A25A3" w:rsidRPr="00274C46" w:rsidRDefault="000A25A3" w:rsidP="00BA382D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0A25A3" w:rsidRPr="00274C46" w:rsidTr="00BA382D">
        <w:tc>
          <w:tcPr>
            <w:tcW w:w="3708" w:type="dxa"/>
          </w:tcPr>
          <w:p w:rsidR="000A25A3" w:rsidRPr="00274C46" w:rsidRDefault="000A25A3" w:rsidP="00BA38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 xml:space="preserve">Patient and Family </w:t>
            </w:r>
            <w:proofErr w:type="spellStart"/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Centred</w:t>
            </w:r>
            <w:proofErr w:type="spellEnd"/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 xml:space="preserve"> Care</w:t>
            </w:r>
          </w:p>
        </w:tc>
        <w:tc>
          <w:tcPr>
            <w:tcW w:w="1672" w:type="dxa"/>
          </w:tcPr>
          <w:p w:rsidR="000A25A3" w:rsidRPr="00274C46" w:rsidRDefault="000A25A3" w:rsidP="00BA382D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0A25A3" w:rsidRPr="00274C46" w:rsidRDefault="000A25A3" w:rsidP="00BA382D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83650E" w:rsidRPr="00274C46" w:rsidTr="00BA382D">
        <w:tc>
          <w:tcPr>
            <w:tcW w:w="3708" w:type="dxa"/>
          </w:tcPr>
          <w:p w:rsidR="0083650E" w:rsidRPr="00274C46" w:rsidRDefault="0083650E" w:rsidP="0083650E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Patient Safety</w:t>
            </w:r>
          </w:p>
        </w:tc>
        <w:tc>
          <w:tcPr>
            <w:tcW w:w="1672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83650E" w:rsidRPr="00274C46" w:rsidTr="00BA382D">
        <w:tc>
          <w:tcPr>
            <w:tcW w:w="3708" w:type="dxa"/>
          </w:tcPr>
          <w:p w:rsidR="0083650E" w:rsidRPr="00274C46" w:rsidRDefault="0083650E" w:rsidP="0083650E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Police Annual Declaration Reminder</w:t>
            </w:r>
          </w:p>
        </w:tc>
        <w:tc>
          <w:tcPr>
            <w:tcW w:w="1672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83650E" w:rsidRPr="00274C46" w:rsidTr="00BA382D">
        <w:tc>
          <w:tcPr>
            <w:tcW w:w="3708" w:type="dxa"/>
          </w:tcPr>
          <w:p w:rsidR="0083650E" w:rsidRPr="00274C46" w:rsidRDefault="0083650E" w:rsidP="0083650E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Privacy</w:t>
            </w:r>
          </w:p>
        </w:tc>
        <w:tc>
          <w:tcPr>
            <w:tcW w:w="1672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83650E" w:rsidRPr="00274C46" w:rsidTr="00BA382D">
        <w:tc>
          <w:tcPr>
            <w:tcW w:w="3708" w:type="dxa"/>
          </w:tcPr>
          <w:p w:rsidR="0083650E" w:rsidRPr="00274C46" w:rsidRDefault="0083650E" w:rsidP="0083650E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Violence Prevention</w:t>
            </w:r>
          </w:p>
        </w:tc>
        <w:tc>
          <w:tcPr>
            <w:tcW w:w="1672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83650E" w:rsidRPr="00274C46" w:rsidTr="00BA382D">
        <w:tc>
          <w:tcPr>
            <w:tcW w:w="3708" w:type="dxa"/>
          </w:tcPr>
          <w:p w:rsidR="0083650E" w:rsidRPr="00274C46" w:rsidRDefault="0083650E" w:rsidP="0083650E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WHMIS</w:t>
            </w:r>
          </w:p>
        </w:tc>
        <w:tc>
          <w:tcPr>
            <w:tcW w:w="1672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83650E" w:rsidRPr="00274C46" w:rsidTr="00BA382D">
        <w:tc>
          <w:tcPr>
            <w:tcW w:w="3708" w:type="dxa"/>
          </w:tcPr>
          <w:p w:rsidR="0083650E" w:rsidRPr="00274C46" w:rsidRDefault="0083650E" w:rsidP="0083650E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 xml:space="preserve">Workplace 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Harassment </w:t>
            </w:r>
          </w:p>
        </w:tc>
        <w:tc>
          <w:tcPr>
            <w:tcW w:w="1672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83650E" w:rsidRPr="00274C46" w:rsidTr="00BA382D">
        <w:tc>
          <w:tcPr>
            <w:tcW w:w="3708" w:type="dxa"/>
          </w:tcPr>
          <w:p w:rsidR="0083650E" w:rsidRPr="00274C46" w:rsidRDefault="0083650E" w:rsidP="0083650E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 xml:space="preserve">Workplace 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Violence</w:t>
            </w:r>
          </w:p>
        </w:tc>
        <w:tc>
          <w:tcPr>
            <w:tcW w:w="1672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Annually</w:t>
            </w:r>
          </w:p>
        </w:tc>
      </w:tr>
      <w:tr w:rsidR="0083650E" w:rsidRPr="00274C46" w:rsidTr="00BA382D">
        <w:tc>
          <w:tcPr>
            <w:tcW w:w="3708" w:type="dxa"/>
          </w:tcPr>
          <w:p w:rsidR="0083650E" w:rsidRPr="00274C46" w:rsidRDefault="0083650E" w:rsidP="0083650E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COVID-19 Screening Declaration</w:t>
            </w:r>
          </w:p>
        </w:tc>
        <w:tc>
          <w:tcPr>
            <w:tcW w:w="1672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Once within first year of employment</w:t>
            </w:r>
          </w:p>
        </w:tc>
      </w:tr>
      <w:tr w:rsidR="0083650E" w:rsidRPr="00274C46" w:rsidTr="00BA382D">
        <w:tc>
          <w:tcPr>
            <w:tcW w:w="3708" w:type="dxa"/>
          </w:tcPr>
          <w:p w:rsidR="0083650E" w:rsidRPr="00274C46" w:rsidRDefault="0083650E" w:rsidP="0083650E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Quality &amp; Risk Management</w:t>
            </w:r>
          </w:p>
        </w:tc>
        <w:tc>
          <w:tcPr>
            <w:tcW w:w="1672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Once within first year of employment</w:t>
            </w:r>
          </w:p>
        </w:tc>
      </w:tr>
      <w:tr w:rsidR="0083650E" w:rsidRPr="00274C46" w:rsidTr="00BA382D">
        <w:tc>
          <w:tcPr>
            <w:tcW w:w="3708" w:type="dxa"/>
          </w:tcPr>
          <w:p w:rsidR="0083650E" w:rsidRPr="00274C46" w:rsidRDefault="0083650E" w:rsidP="0083650E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Respect Project - Acute Mental Health</w:t>
            </w:r>
          </w:p>
        </w:tc>
        <w:tc>
          <w:tcPr>
            <w:tcW w:w="1672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Once within first year of employment</w:t>
            </w:r>
          </w:p>
        </w:tc>
      </w:tr>
      <w:tr w:rsidR="0083650E" w:rsidRPr="00274C46" w:rsidTr="00BA382D">
        <w:tc>
          <w:tcPr>
            <w:tcW w:w="3708" w:type="dxa"/>
          </w:tcPr>
          <w:p w:rsidR="0083650E" w:rsidRPr="00274C46" w:rsidRDefault="0083650E" w:rsidP="0083650E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Respect Project - Indigenous Health</w:t>
            </w:r>
          </w:p>
        </w:tc>
        <w:tc>
          <w:tcPr>
            <w:tcW w:w="1672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Once within first year of employment</w:t>
            </w:r>
          </w:p>
        </w:tc>
      </w:tr>
      <w:tr w:rsidR="0083650E" w:rsidRPr="00274C46" w:rsidTr="00BA382D">
        <w:tc>
          <w:tcPr>
            <w:tcW w:w="3708" w:type="dxa"/>
          </w:tcPr>
          <w:p w:rsidR="0083650E" w:rsidRPr="00274C46" w:rsidRDefault="0083650E" w:rsidP="0083650E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274C46">
              <w:rPr>
                <w:rFonts w:eastAsia="Times New Roman" w:cs="Arial"/>
                <w:b/>
                <w:bCs/>
                <w:sz w:val="20"/>
                <w:szCs w:val="20"/>
              </w:rPr>
              <w:t>Respect Project - Self Awareness</w:t>
            </w:r>
          </w:p>
        </w:tc>
        <w:tc>
          <w:tcPr>
            <w:tcW w:w="1672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All Employees</w:t>
            </w:r>
          </w:p>
        </w:tc>
        <w:tc>
          <w:tcPr>
            <w:tcW w:w="3944" w:type="dxa"/>
          </w:tcPr>
          <w:p w:rsidR="0083650E" w:rsidRPr="00274C46" w:rsidRDefault="0083650E" w:rsidP="0083650E">
            <w:pPr>
              <w:rPr>
                <w:rFonts w:eastAsia="Times New Roman" w:cs="Arial"/>
                <w:sz w:val="20"/>
                <w:szCs w:val="20"/>
              </w:rPr>
            </w:pPr>
            <w:r w:rsidRPr="00274C46">
              <w:rPr>
                <w:rFonts w:eastAsia="Times New Roman" w:cs="Arial"/>
                <w:sz w:val="20"/>
                <w:szCs w:val="20"/>
              </w:rPr>
              <w:t>Once within first year of employment</w:t>
            </w:r>
          </w:p>
        </w:tc>
      </w:tr>
    </w:tbl>
    <w:p w:rsidR="00BA1B01" w:rsidRPr="00274C46" w:rsidRDefault="00BA1B01" w:rsidP="00BA1B01">
      <w:pPr>
        <w:rPr>
          <w:sz w:val="22"/>
          <w:szCs w:val="22"/>
        </w:rPr>
      </w:pPr>
      <w:r w:rsidRPr="00274C46">
        <w:rPr>
          <w:sz w:val="22"/>
          <w:szCs w:val="22"/>
        </w:rPr>
        <w:t xml:space="preserve">Should you have any questions or require assistance, please contact Human Resources at 684-6218 or </w:t>
      </w:r>
      <w:hyperlink r:id="rId11" w:history="1">
        <w:r w:rsidRPr="00274C46">
          <w:rPr>
            <w:rStyle w:val="Hyperlink"/>
            <w:sz w:val="22"/>
            <w:szCs w:val="22"/>
          </w:rPr>
          <w:t>humanresources@tbh.net</w:t>
        </w:r>
      </w:hyperlink>
      <w:r w:rsidRPr="00274C46">
        <w:rPr>
          <w:sz w:val="22"/>
          <w:szCs w:val="22"/>
        </w:rPr>
        <w:t xml:space="preserve">. </w:t>
      </w:r>
      <w:r w:rsidRPr="00274C46">
        <w:rPr>
          <w:sz w:val="22"/>
          <w:szCs w:val="22"/>
        </w:rPr>
        <w:tab/>
      </w:r>
    </w:p>
    <w:p w:rsidR="00BA1B01" w:rsidRPr="00274C46" w:rsidRDefault="00BA1B01" w:rsidP="00B4401B">
      <w:pPr>
        <w:rPr>
          <w:rFonts w:asciiTheme="majorHAnsi" w:hAnsiTheme="majorHAnsi"/>
          <w:sz w:val="22"/>
          <w:szCs w:val="22"/>
        </w:rPr>
      </w:pPr>
    </w:p>
    <w:p w:rsidR="00E62AAD" w:rsidRPr="00274C46" w:rsidRDefault="00E62AAD" w:rsidP="00734B1F">
      <w:pPr>
        <w:rPr>
          <w:rFonts w:asciiTheme="majorHAnsi" w:hAnsiTheme="majorHAnsi" w:cs="Segoe UI"/>
          <w:sz w:val="22"/>
          <w:szCs w:val="22"/>
        </w:rPr>
      </w:pPr>
    </w:p>
    <w:sectPr w:rsidR="00E62AAD" w:rsidRPr="00274C46" w:rsidSect="00274C46">
      <w:headerReference w:type="default" r:id="rId12"/>
      <w:footerReference w:type="defaul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5EF" w:rsidRDefault="008645EF" w:rsidP="00012695">
      <w:r>
        <w:separator/>
      </w:r>
    </w:p>
  </w:endnote>
  <w:endnote w:type="continuationSeparator" w:id="0">
    <w:p w:rsidR="008645EF" w:rsidRDefault="008645EF" w:rsidP="0001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charset w:val="00"/>
    <w:family w:val="auto"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C46" w:rsidRDefault="00274C46" w:rsidP="00274C46">
    <w:pPr>
      <w:pStyle w:val="Footer"/>
      <w:jc w:val="right"/>
    </w:pPr>
    <w:r>
      <w:rPr>
        <w:noProof/>
      </w:rPr>
      <w:drawing>
        <wp:inline distT="0" distB="0" distL="0" distR="0">
          <wp:extent cx="1799414" cy="270934"/>
          <wp:effectExtent l="0" t="0" r="4445" b="889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lthy togeth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597" cy="271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DA9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-646430</wp:posOffset>
              </wp:positionH>
              <wp:positionV relativeFrom="paragraph">
                <wp:posOffset>-215265</wp:posOffset>
              </wp:positionV>
              <wp:extent cx="4530725" cy="769620"/>
              <wp:effectExtent l="0" t="0" r="0" b="0"/>
              <wp:wrapThrough wrapText="bothSides">
                <wp:wrapPolygon edited="0">
                  <wp:start x="182" y="1604"/>
                  <wp:lineTo x="182" y="19782"/>
                  <wp:lineTo x="21343" y="19782"/>
                  <wp:lineTo x="21343" y="1604"/>
                  <wp:lineTo x="182" y="1604"/>
                </wp:wrapPolygon>
              </wp:wrapThrough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0725" cy="769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645EF" w:rsidRPr="006D31C5" w:rsidRDefault="008645EF" w:rsidP="00012695">
                          <w:pPr>
                            <w:pStyle w:val="BasicParagraph"/>
                            <w:suppressAutoHyphens/>
                            <w:spacing w:after="40" w:line="240" w:lineRule="auto"/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</w:pPr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Thunder Bay Regional Health Sciences Centre is a leader in Patient and Family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Centred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Care and a research and teaching hospital proudly affiliated with </w:t>
                          </w:r>
                          <w:r w:rsidRPr="006D31C5"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>Lakehead</w:t>
                          </w:r>
                          <w:r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 xml:space="preserve"> University, </w:t>
                          </w:r>
                          <w:r w:rsidRPr="006D31C5"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>the Northern Ontario School of Medicine</w:t>
                          </w:r>
                          <w:r w:rsidRPr="00B76CF4"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 xml:space="preserve"> and Confederation College</w:t>
                          </w:r>
                          <w:r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.</w:t>
                          </w:r>
                        </w:p>
                        <w:p w:rsidR="008645EF" w:rsidRPr="006D31C5" w:rsidRDefault="008645EF" w:rsidP="00012695">
                          <w:pPr>
                            <w:pStyle w:val="BasicParagraph"/>
                            <w:suppressAutoHyphens/>
                            <w:spacing w:after="40" w:line="240" w:lineRule="auto"/>
                            <w:rPr>
                              <w:rFonts w:ascii="Arial" w:hAnsi="Arial" w:cs="Arial"/>
                              <w:b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Le Centre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régional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des sciences de la santé de Thunder Bay, un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hôpital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d’enseignement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et de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recherche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,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est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reconnu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comme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un leader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dans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la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prestation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de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soins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et de services aux patients et aux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familles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et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est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fier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 xml:space="preserve"> de son affiliation à </w:t>
                          </w:r>
                          <w:proofErr w:type="spellStart"/>
                          <w:r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>l’université</w:t>
                          </w:r>
                          <w:proofErr w:type="spellEnd"/>
                          <w:r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 xml:space="preserve"> Lakehead, </w:t>
                          </w:r>
                          <w:r w:rsidRPr="006D31C5"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 xml:space="preserve">à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>l’École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 xml:space="preserve"> de </w:t>
                          </w:r>
                          <w:proofErr w:type="spellStart"/>
                          <w:r w:rsidRPr="006D31C5"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>médecine</w:t>
                          </w:r>
                          <w:proofErr w:type="spellEnd"/>
                          <w:r w:rsidRPr="006D31C5"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 xml:space="preserve"> du Nord de </w:t>
                          </w:r>
                          <w:proofErr w:type="spellStart"/>
                          <w:r w:rsidRPr="00B76CF4"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>l’Ontario</w:t>
                          </w:r>
                          <w:proofErr w:type="spellEnd"/>
                          <w:r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 xml:space="preserve"> et au </w:t>
                          </w:r>
                          <w:proofErr w:type="spellStart"/>
                          <w:r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>c</w:t>
                          </w:r>
                          <w:r w:rsidRPr="00B76CF4"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>ollège</w:t>
                          </w:r>
                          <w:proofErr w:type="spellEnd"/>
                          <w:r w:rsidRPr="00B76CF4"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B76CF4">
                            <w:rPr>
                              <w:rStyle w:val="BODY"/>
                              <w:rFonts w:ascii="Arial" w:hAnsi="Arial" w:cs="Arial"/>
                              <w:b/>
                              <w:color w:val="133D8C"/>
                              <w:sz w:val="13"/>
                              <w:szCs w:val="13"/>
                            </w:rPr>
                            <w:t>Confédération</w:t>
                          </w:r>
                          <w:proofErr w:type="spellEnd"/>
                          <w:r>
                            <w:rPr>
                              <w:rStyle w:val="BODY"/>
                              <w:rFonts w:ascii="Arial" w:hAnsi="Arial" w:cs="Arial"/>
                              <w:color w:val="133D8C"/>
                              <w:sz w:val="13"/>
                              <w:szCs w:val="13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left:0;text-align:left;margin-left:-50.9pt;margin-top:-16.95pt;width:356.75pt;height:6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" filled="f" stroked="f">
              <v:textbox inset=",7.2pt,,7.2pt">
                <w:txbxContent>
                  <w:p w:rsidR="008645EF" w:rsidRPr="006D31C5" w:rsidRDefault="008645EF" w:rsidP="00012695">
                    <w:pPr>
                      <w:pStyle w:val="BasicParagraph"/>
                      <w:suppressAutoHyphens/>
                      <w:spacing w:after="40" w:line="240" w:lineRule="auto"/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</w:pPr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Thunder Bay Regional Health Sciences Centre is a leader in Patient and Family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Centred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Care and a research and teaching hospital proudly affiliated with </w:t>
                    </w:r>
                    <w:r w:rsidRPr="006D31C5"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>Lakehead</w:t>
                    </w:r>
                    <w:r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 xml:space="preserve"> University, </w:t>
                    </w:r>
                    <w:r w:rsidRPr="006D31C5"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>the Northern Ontario School of Medicine</w:t>
                    </w:r>
                    <w:r w:rsidRPr="00B76CF4"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 xml:space="preserve"> and Confederation College</w:t>
                    </w:r>
                    <w:r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.</w:t>
                    </w:r>
                  </w:p>
                  <w:p w:rsidR="008645EF" w:rsidRPr="006D31C5" w:rsidRDefault="008645EF" w:rsidP="00012695">
                    <w:pPr>
                      <w:pStyle w:val="BasicParagraph"/>
                      <w:suppressAutoHyphens/>
                      <w:spacing w:after="40" w:line="240" w:lineRule="auto"/>
                      <w:rPr>
                        <w:rFonts w:ascii="Arial" w:hAnsi="Arial" w:cs="Arial"/>
                        <w:b/>
                        <w:color w:val="1F497D" w:themeColor="text2"/>
                        <w:sz w:val="14"/>
                        <w:szCs w:val="14"/>
                      </w:rPr>
                    </w:pPr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Le Centre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régional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des sciences de la santé de Thunder Bay, un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hôpital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d’enseignement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et de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recherche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,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est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reconnu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comme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un leader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dans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la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prestation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de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soins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et de services aux patients et aux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familles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et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est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fier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 xml:space="preserve"> de son affiliation à </w:t>
                    </w:r>
                    <w:proofErr w:type="spellStart"/>
                    <w:r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>l’université</w:t>
                    </w:r>
                    <w:proofErr w:type="spellEnd"/>
                    <w:r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 xml:space="preserve"> Lakehead, </w:t>
                    </w:r>
                    <w:r w:rsidRPr="006D31C5"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 xml:space="preserve">à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>l’École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 xml:space="preserve"> de </w:t>
                    </w:r>
                    <w:proofErr w:type="spellStart"/>
                    <w:r w:rsidRPr="006D31C5"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>médecine</w:t>
                    </w:r>
                    <w:proofErr w:type="spellEnd"/>
                    <w:r w:rsidRPr="006D31C5"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 xml:space="preserve"> du Nord de </w:t>
                    </w:r>
                    <w:proofErr w:type="spellStart"/>
                    <w:r w:rsidRPr="00B76CF4"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>l’Ontario</w:t>
                    </w:r>
                    <w:proofErr w:type="spellEnd"/>
                    <w:r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 xml:space="preserve"> et au </w:t>
                    </w:r>
                    <w:proofErr w:type="spellStart"/>
                    <w:r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>c</w:t>
                    </w:r>
                    <w:r w:rsidRPr="00B76CF4"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>ollège</w:t>
                    </w:r>
                    <w:proofErr w:type="spellEnd"/>
                    <w:r w:rsidRPr="00B76CF4"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B76CF4">
                      <w:rPr>
                        <w:rStyle w:val="BODY"/>
                        <w:rFonts w:ascii="Arial" w:hAnsi="Arial" w:cs="Arial"/>
                        <w:b/>
                        <w:color w:val="133D8C"/>
                        <w:sz w:val="13"/>
                        <w:szCs w:val="13"/>
                      </w:rPr>
                      <w:t>Confédération</w:t>
                    </w:r>
                    <w:proofErr w:type="spellEnd"/>
                    <w:r>
                      <w:rPr>
                        <w:rStyle w:val="BODY"/>
                        <w:rFonts w:ascii="Arial" w:hAnsi="Arial" w:cs="Arial"/>
                        <w:color w:val="133D8C"/>
                        <w:sz w:val="13"/>
                        <w:szCs w:val="13"/>
                      </w:rPr>
                      <w:t>.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5EF" w:rsidRDefault="008645EF" w:rsidP="00012695">
      <w:r>
        <w:separator/>
      </w:r>
    </w:p>
  </w:footnote>
  <w:footnote w:type="continuationSeparator" w:id="0">
    <w:p w:rsidR="008645EF" w:rsidRDefault="008645EF" w:rsidP="0001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5EF" w:rsidRDefault="003E1D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column">
                <wp:posOffset>5897880</wp:posOffset>
              </wp:positionH>
              <wp:positionV relativeFrom="paragraph">
                <wp:posOffset>854710</wp:posOffset>
              </wp:positionV>
              <wp:extent cx="638175" cy="2324100"/>
              <wp:effectExtent l="0" t="0" r="0" b="0"/>
              <wp:wrapThrough wrapText="bothSides">
                <wp:wrapPolygon edited="0">
                  <wp:start x="20310" y="21600"/>
                  <wp:lineTo x="20310" y="177"/>
                  <wp:lineTo x="2257" y="177"/>
                  <wp:lineTo x="2257" y="21600"/>
                  <wp:lineTo x="20310" y="21600"/>
                </wp:wrapPolygon>
              </wp:wrapThrough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638175" cy="232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5EF" w:rsidRPr="004723E9" w:rsidRDefault="008645EF" w:rsidP="00DF1832">
                          <w:pPr>
                            <w:ind w:left="-5812"/>
                            <w:jc w:val="right"/>
                            <w:outlineLvl w:val="0"/>
                            <w:rPr>
                              <w:rFonts w:ascii="Arial" w:hAnsi="Arial" w:cs="Arial"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 w:themeColor="text2"/>
                              <w:sz w:val="36"/>
                              <w:szCs w:val="36"/>
                            </w:rPr>
                            <w:t>Human Resources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4.4pt;margin-top:67.3pt;width:50.25pt;height:183pt;rotation:180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" filled="f" stroked="f">
              <v:textbox style="layout-flow:vertical;mso-layout-flow-alt:bottom-to-top">
                <w:txbxContent>
                  <w:p w:rsidR="008645EF" w:rsidRPr="004723E9" w:rsidRDefault="008645EF" w:rsidP="00DF1832">
                    <w:pPr>
                      <w:ind w:left="-5812"/>
                      <w:jc w:val="right"/>
                      <w:outlineLvl w:val="0"/>
                      <w:rPr>
                        <w:rFonts w:ascii="Arial" w:hAnsi="Arial" w:cs="Arial"/>
                        <w:color w:val="1F497D" w:themeColor="text2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color w:val="1F497D" w:themeColor="text2"/>
                        <w:sz w:val="36"/>
                        <w:szCs w:val="36"/>
                      </w:rPr>
                      <w:t>Human Resources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4347210</wp:posOffset>
              </wp:positionH>
              <wp:positionV relativeFrom="paragraph">
                <wp:posOffset>8911590</wp:posOffset>
              </wp:positionV>
              <wp:extent cx="2092960" cy="4070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296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45EF" w:rsidRDefault="008645EF" w:rsidP="000126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42.3pt;margin-top:701.7pt;width:164.8pt;height:3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" filled="f" stroked="f">
              <v:path arrowok="t"/>
              <v:textbox>
                <w:txbxContent>
                  <w:p w:rsidR="008645EF" w:rsidRDefault="008645EF" w:rsidP="0001269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-80010</wp:posOffset>
              </wp:positionV>
              <wp:extent cx="2451100" cy="133350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45EF" w:rsidRDefault="008645EF" w:rsidP="000126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1200" cy="1041627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BRHSC_HORZ_CMYK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649" cy="10418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margin-left:-70.9pt;margin-top:-6.3pt;width:193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" filled="f" stroked="f">
              <v:path arrowok="t"/>
              <v:textbox>
                <w:txbxContent>
                  <w:p w:rsidR="008645EF" w:rsidRDefault="008645EF" w:rsidP="000126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81200" cy="1041627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BRHSC_HORZ_CMYK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649" cy="10418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1625600</wp:posOffset>
              </wp:positionH>
              <wp:positionV relativeFrom="paragraph">
                <wp:posOffset>388620</wp:posOffset>
              </wp:positionV>
              <wp:extent cx="1447800" cy="5842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45EF" w:rsidRPr="00012695" w:rsidRDefault="008645EF" w:rsidP="0065257B">
                          <w:pPr>
                            <w:widowControl w:val="0"/>
                            <w:tabs>
                              <w:tab w:val="left" w:pos="340"/>
                              <w:tab w:val="left" w:pos="400"/>
                              <w:tab w:val="left" w:pos="800"/>
                              <w:tab w:val="left" w:pos="1120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</w:pPr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980 rue Oliver Road</w:t>
                          </w:r>
                          <w:r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br/>
                          </w:r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 xml:space="preserve">Thunder </w:t>
                          </w:r>
                          <w:proofErr w:type="gramStart"/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Bay  ON</w:t>
                          </w:r>
                          <w:proofErr w:type="gramEnd"/>
                        </w:p>
                        <w:p w:rsidR="008645EF" w:rsidRPr="00743E3E" w:rsidRDefault="008645EF" w:rsidP="0065257B">
                          <w:pPr>
                            <w:rPr>
                              <w:rFonts w:cs="Arial"/>
                            </w:rPr>
                          </w:pPr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 xml:space="preserve">P7B </w:t>
                          </w:r>
                          <w:proofErr w:type="gramStart"/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6V4  Canada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9" type="#_x0000_t202" style="position:absolute;margin-left:128pt;margin-top:30.6pt;width:114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" filled="f" stroked="f">
              <v:path arrowok="t"/>
              <v:textbox>
                <w:txbxContent>
                  <w:p w:rsidR="008645EF" w:rsidRPr="00012695" w:rsidRDefault="008645EF" w:rsidP="0065257B">
                    <w:pPr>
                      <w:widowControl w:val="0"/>
                      <w:tabs>
                        <w:tab w:val="left" w:pos="340"/>
                        <w:tab w:val="left" w:pos="400"/>
                        <w:tab w:val="left" w:pos="800"/>
                        <w:tab w:val="left" w:pos="1120"/>
                      </w:tabs>
                      <w:suppressAutoHyphens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</w:pPr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980 rue Oliver Road</w:t>
                    </w:r>
                    <w:r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br/>
                    </w:r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 xml:space="preserve">Thunder </w:t>
                    </w:r>
                    <w:proofErr w:type="gramStart"/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Bay  ON</w:t>
                    </w:r>
                    <w:proofErr w:type="gramEnd"/>
                  </w:p>
                  <w:p w:rsidR="008645EF" w:rsidRPr="00743E3E" w:rsidRDefault="008645EF" w:rsidP="0065257B">
                    <w:pPr>
                      <w:rPr>
                        <w:rFonts w:cs="Arial"/>
                      </w:rPr>
                    </w:pPr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 xml:space="preserve">P7B </w:t>
                    </w:r>
                    <w:proofErr w:type="gramStart"/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6V4  Canada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3035300</wp:posOffset>
              </wp:positionH>
              <wp:positionV relativeFrom="paragraph">
                <wp:posOffset>388620</wp:posOffset>
              </wp:positionV>
              <wp:extent cx="1447800" cy="58420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45EF" w:rsidRDefault="008645EF" w:rsidP="0065257B">
                          <w:pPr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</w:pPr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el: (807) 684-6218</w:t>
                          </w:r>
                        </w:p>
                        <w:p w:rsidR="008645EF" w:rsidRDefault="008645EF" w:rsidP="0065257B">
                          <w:pPr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Fax: (087) 684-5829</w:t>
                          </w:r>
                        </w:p>
                        <w:p w:rsidR="008645EF" w:rsidRPr="00012695" w:rsidRDefault="008645EF" w:rsidP="0065257B">
                          <w:pPr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humanr</w:t>
                          </w:r>
                          <w:r w:rsidRPr="0065257B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esources</w:t>
                          </w:r>
                          <w:r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@tbh.net</w:t>
                          </w:r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br/>
                          </w:r>
                          <w:r w:rsidRPr="00012695">
                            <w:rPr>
                              <w:rFonts w:ascii="Arial" w:hAnsi="Arial" w:cs="Arial"/>
                              <w:b/>
                              <w:color w:val="133D8C"/>
                              <w:sz w:val="15"/>
                              <w:szCs w:val="15"/>
                            </w:rPr>
                            <w:t>www.tbrhsc.net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margin-left:239pt;margin-top:30.6pt;width:114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" filled="f" stroked="f">
              <v:path arrowok="t"/>
              <v:textbox>
                <w:txbxContent>
                  <w:p w:rsidR="008645EF" w:rsidRDefault="008645EF" w:rsidP="0065257B">
                    <w:pPr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</w:pPr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el: (807) 684-6218</w:t>
                    </w:r>
                  </w:p>
                  <w:p w:rsidR="008645EF" w:rsidRDefault="008645EF" w:rsidP="0065257B">
                    <w:pPr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Fax: (087) 684-5829</w:t>
                    </w:r>
                  </w:p>
                  <w:p w:rsidR="008645EF" w:rsidRPr="00012695" w:rsidRDefault="008645EF" w:rsidP="0065257B">
                    <w:pPr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humanr</w:t>
                    </w:r>
                    <w:r w:rsidRPr="0065257B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esources</w:t>
                    </w:r>
                    <w:r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@tbh.net</w:t>
                    </w:r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br/>
                    </w:r>
                    <w:r w:rsidRPr="00012695">
                      <w:rPr>
                        <w:rFonts w:ascii="Arial" w:hAnsi="Arial" w:cs="Arial"/>
                        <w:b/>
                        <w:color w:val="133D8C"/>
                        <w:sz w:val="15"/>
                        <w:szCs w:val="15"/>
                      </w:rPr>
                      <w:t>www.tbrhsc.net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635D"/>
    <w:multiLevelType w:val="hybridMultilevel"/>
    <w:tmpl w:val="4BAEE5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B5ADC"/>
    <w:multiLevelType w:val="hybridMultilevel"/>
    <w:tmpl w:val="15BC2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3E29E9"/>
    <w:multiLevelType w:val="hybridMultilevel"/>
    <w:tmpl w:val="B0066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394500"/>
    <w:multiLevelType w:val="hybridMultilevel"/>
    <w:tmpl w:val="B63A7B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16E11"/>
    <w:multiLevelType w:val="hybridMultilevel"/>
    <w:tmpl w:val="6FC67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7B"/>
    <w:rsid w:val="00012695"/>
    <w:rsid w:val="00016DC1"/>
    <w:rsid w:val="00030634"/>
    <w:rsid w:val="00064833"/>
    <w:rsid w:val="0007633B"/>
    <w:rsid w:val="000A25A3"/>
    <w:rsid w:val="00122B92"/>
    <w:rsid w:val="00140A1C"/>
    <w:rsid w:val="00176106"/>
    <w:rsid w:val="001E34AC"/>
    <w:rsid w:val="001F7860"/>
    <w:rsid w:val="0021182F"/>
    <w:rsid w:val="00235FD1"/>
    <w:rsid w:val="002516AF"/>
    <w:rsid w:val="00264C76"/>
    <w:rsid w:val="00271BC1"/>
    <w:rsid w:val="00274C46"/>
    <w:rsid w:val="00283F4B"/>
    <w:rsid w:val="002B3041"/>
    <w:rsid w:val="0032008D"/>
    <w:rsid w:val="003234E5"/>
    <w:rsid w:val="00356CB0"/>
    <w:rsid w:val="00364EB3"/>
    <w:rsid w:val="003865E6"/>
    <w:rsid w:val="00397748"/>
    <w:rsid w:val="003E17E9"/>
    <w:rsid w:val="003E1DA9"/>
    <w:rsid w:val="004723E9"/>
    <w:rsid w:val="004C05E8"/>
    <w:rsid w:val="004D4F16"/>
    <w:rsid w:val="004E2FA6"/>
    <w:rsid w:val="00512597"/>
    <w:rsid w:val="00513106"/>
    <w:rsid w:val="00520175"/>
    <w:rsid w:val="00522818"/>
    <w:rsid w:val="00530C2C"/>
    <w:rsid w:val="00543273"/>
    <w:rsid w:val="005A65EB"/>
    <w:rsid w:val="00603C20"/>
    <w:rsid w:val="0065257B"/>
    <w:rsid w:val="00662C54"/>
    <w:rsid w:val="006819B2"/>
    <w:rsid w:val="00683769"/>
    <w:rsid w:val="00690DF0"/>
    <w:rsid w:val="00696657"/>
    <w:rsid w:val="006B38DE"/>
    <w:rsid w:val="006D1731"/>
    <w:rsid w:val="006D1F80"/>
    <w:rsid w:val="00701205"/>
    <w:rsid w:val="00703BB5"/>
    <w:rsid w:val="0071690B"/>
    <w:rsid w:val="00717DAC"/>
    <w:rsid w:val="00734B1F"/>
    <w:rsid w:val="00744A67"/>
    <w:rsid w:val="007534A3"/>
    <w:rsid w:val="007C1462"/>
    <w:rsid w:val="007F462D"/>
    <w:rsid w:val="00822FC0"/>
    <w:rsid w:val="0083650E"/>
    <w:rsid w:val="00836B1F"/>
    <w:rsid w:val="008645EF"/>
    <w:rsid w:val="008A5FE6"/>
    <w:rsid w:val="008E2A72"/>
    <w:rsid w:val="0090437D"/>
    <w:rsid w:val="00915840"/>
    <w:rsid w:val="009163A2"/>
    <w:rsid w:val="00963154"/>
    <w:rsid w:val="009A04C9"/>
    <w:rsid w:val="009F29E9"/>
    <w:rsid w:val="00A23FDD"/>
    <w:rsid w:val="00A66C47"/>
    <w:rsid w:val="00A747CE"/>
    <w:rsid w:val="00A82891"/>
    <w:rsid w:val="00AC785C"/>
    <w:rsid w:val="00B34207"/>
    <w:rsid w:val="00B4401B"/>
    <w:rsid w:val="00B7265E"/>
    <w:rsid w:val="00B9140E"/>
    <w:rsid w:val="00B92B2A"/>
    <w:rsid w:val="00BA1B01"/>
    <w:rsid w:val="00C73077"/>
    <w:rsid w:val="00CB162A"/>
    <w:rsid w:val="00D049F6"/>
    <w:rsid w:val="00D660A6"/>
    <w:rsid w:val="00D805E1"/>
    <w:rsid w:val="00DE4D92"/>
    <w:rsid w:val="00DF1832"/>
    <w:rsid w:val="00E37D76"/>
    <w:rsid w:val="00E45BCF"/>
    <w:rsid w:val="00E57535"/>
    <w:rsid w:val="00E604C3"/>
    <w:rsid w:val="00E628F6"/>
    <w:rsid w:val="00E62AAD"/>
    <w:rsid w:val="00E655E9"/>
    <w:rsid w:val="00E739A0"/>
    <w:rsid w:val="00E73DE5"/>
    <w:rsid w:val="00F12243"/>
    <w:rsid w:val="00F13A1C"/>
    <w:rsid w:val="00F16081"/>
    <w:rsid w:val="00F215D1"/>
    <w:rsid w:val="00F51269"/>
    <w:rsid w:val="00F7774B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FF36A5"/>
  <w15:docId w15:val="{7B50BC98-F070-4DD6-8478-60DA20FE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6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695"/>
  </w:style>
  <w:style w:type="paragraph" w:styleId="Footer">
    <w:name w:val="footer"/>
    <w:basedOn w:val="Normal"/>
    <w:link w:val="FooterChar"/>
    <w:uiPriority w:val="99"/>
    <w:unhideWhenUsed/>
    <w:rsid w:val="00012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695"/>
  </w:style>
  <w:style w:type="paragraph" w:styleId="BalloonText">
    <w:name w:val="Balloon Text"/>
    <w:basedOn w:val="Normal"/>
    <w:link w:val="BalloonTextChar"/>
    <w:uiPriority w:val="99"/>
    <w:semiHidden/>
    <w:unhideWhenUsed/>
    <w:rsid w:val="000126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9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126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BODY">
    <w:name w:val="BODY"/>
    <w:uiPriority w:val="99"/>
    <w:rsid w:val="00012695"/>
    <w:rPr>
      <w:rFonts w:ascii="Gotham-Book" w:hAnsi="Gotham-Book" w:cs="Gotham-Book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68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7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764887">
      <w:bodyDiv w:val="1"/>
      <w:marLeft w:val="120"/>
      <w:marRight w:val="120"/>
      <w:marTop w:val="12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5" w:color="C8C8C8"/>
            <w:right w:val="none" w:sz="0" w:space="0" w:color="auto"/>
          </w:divBdr>
          <w:divsChild>
            <w:div w:id="6196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manresources@tbh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brhsc.dualcod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brhsc.net/tbrhsc/staff-login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CE1B3-8800-4326-83C0-869BF8E4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TBRHSC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Samantha DeGrazia</cp:lastModifiedBy>
  <cp:revision>4</cp:revision>
  <cp:lastPrinted>2018-04-13T15:52:00Z</cp:lastPrinted>
  <dcterms:created xsi:type="dcterms:W3CDTF">2020-11-10T18:50:00Z</dcterms:created>
  <dcterms:modified xsi:type="dcterms:W3CDTF">2021-07-27T16:26:00Z</dcterms:modified>
</cp:coreProperties>
</file>